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line="638" w:lineRule="exact" w:after="80"/>
      </w:pPr>
      <w:r>
        <w:rPr>
          <w:rFonts w:ascii="Noto Sans JP" w:hAnsi="Noto Sans JP" w:eastAsia="Noto Sans JP"/>
          <w:b/>
          <w:color w:val="000000"/>
          <w:sz w:val="44"/>
        </w:rPr>
        <w:t>工場屋根改修のご提案</w:t>
      </w:r>
    </w:p>
    <w:p>
      <w:pPr>
        <w:spacing w:line="493" w:lineRule="exact" w:after="80"/>
      </w:pPr>
      <w:r>
        <w:rPr>
          <w:rFonts w:ascii="Noto Sans JP" w:hAnsi="Noto Sans JP" w:eastAsia="Noto Sans JP"/>
          <w:b/>
          <w:color w:val="000000"/>
          <w:sz w:val="34"/>
        </w:rPr>
        <w:t>リ・ルーフシステム</w:t>
      </w:r>
    </w:p>
    <w:p>
      <w:pPr>
        <w:spacing w:line="304" w:lineRule="exact" w:after="80"/>
      </w:pPr>
      <w:r>
        <w:rPr>
          <w:rFonts w:ascii="Noto Sans JP" w:hAnsi="Noto Sans JP" w:eastAsia="Noto Sans JP"/>
          <w:b w:val="0"/>
          <w:color w:val="000000"/>
          <w:sz w:val="21"/>
        </w:rPr>
        <w:t>既存のスレート・金属屋根を活かし、防水・補強・断熱・遮熱をまとめて行う屋根改修です。雨漏りと暑さ、繰り返す補修の課題に応えます。</w:t>
      </w:r>
    </w:p>
    <w:p>
      <w:r>
        <w:drawing>
          <wp:inline xmlns:a="http://schemas.openxmlformats.org/drawingml/2006/main" xmlns:pic="http://schemas.openxmlformats.org/drawingml/2006/picture">
            <wp:extent cx="6480000" cy="1472130"/>
            <wp:docPr id="1" name="Picture 1"/>
            <wp:cNvGraphicFramePr>
              <a:graphicFrameLocks noChangeAspect="1"/>
            </wp:cNvGraphicFramePr>
            <a:graphic>
              <a:graphicData uri="http://schemas.openxmlformats.org/drawingml/2006/picture">
                <pic:pic>
                  <pic:nvPicPr>
                    <pic:cNvPr id="0" name="hero.jpg"/>
                    <pic:cNvPicPr/>
                  </pic:nvPicPr>
                  <pic:blipFill>
                    <a:blip r:embed="rId11"/>
                    <a:stretch>
                      <a:fillRect/>
                    </a:stretch>
                  </pic:blipFill>
                  <pic:spPr>
                    <a:xfrm>
                      <a:off x="0" y="0"/>
                      <a:ext cx="6480000" cy="1472130"/>
                    </a:xfrm>
                    <a:prstGeom prst="rect"/>
                  </pic:spPr>
                </pic:pic>
              </a:graphicData>
            </a:graphic>
          </wp:inline>
        </w:drawing>
      </w:r>
    </w:p>
    <w:p>
      <w:pPr>
        <w:spacing w:line="217" w:lineRule="exact" w:after="80"/>
      </w:pPr>
      <w:r>
        <w:rPr>
          <w:rFonts w:ascii="Noto Sans JP" w:hAnsi="Noto Sans JP" w:eastAsia="Noto Sans JP"/>
          <w:b w:val="0"/>
          <w:color w:val="000000"/>
          <w:sz w:val="15"/>
        </w:rPr>
        <w:t>マルホウの屋根吹付施工写真</w:t>
      </w:r>
    </w:p>
    <w:p>
      <w:pPr>
        <w:pStyle w:val="Heading1"/>
        <w:spacing w:before="180" w:after="100" w:line="360" w:lineRule="exact"/>
      </w:pPr>
      <w:r>
        <w:t>屋根を被覆する 3層の仕組み</w:t>
      </w:r>
    </w:p>
    <w:tbl>
      <w:tblPr>
        <w:tblW w:type="auto" w:w="0"/>
        <w:tblLayout w:type="fixed"/>
        <w:tblLook w:firstColumn="1" w:firstRow="1" w:lastColumn="0" w:lastRow="0" w:noHBand="0" w:noVBand="1" w:val="04A0"/>
      </w:tblPr>
      <w:tblGrid>
        <w:gridCol w:w="3685"/>
        <w:gridCol w:w="6520"/>
      </w:tblGrid>
      <w:tr>
        <w:trPr>
          <w:cantSplit/>
          <w:tblHeader/>
        </w:trPr>
        <w:tc>
          <w:tcPr>
            <w:tcW w:type="dxa" w:w="3685"/>
            <w:tcBorders>
              <w:top w:val="single" w:sz="4" w:color="D9D9D9"/>
              <w:left w:val="single" w:sz="4" w:color="D9D9D9"/>
              <w:bottom w:val="single" w:sz="4" w:color="D9D9D9"/>
              <w:right w:val="single" w:sz="4" w:color="D9D9D9"/>
            </w:tcBorders>
            <w:tcMar>
              <w:top w:w="75" w:type="dxa"/>
              <w:left w:w="75" w:type="dxa"/>
              <w:bottom w:w="75" w:type="dxa"/>
              <w:right w:w="75" w:type="dxa"/>
            </w:tcMar>
            <w:shd w:fill="163E49"/>
          </w:tcPr>
          <w:p>
            <w:pPr>
              <w:spacing w:after="0" w:line="256" w:lineRule="exact"/>
            </w:pPr>
            <w:r>
              <w:rPr>
                <w:rFonts w:ascii="Noto Sans JP" w:hAnsi="Noto Sans JP" w:eastAsia="Noto Sans JP"/>
                <w:b/>
                <w:color w:val="FFFFFF"/>
                <w:sz w:val="19"/>
              </w:rPr>
              <w:t>上からの構成</w:t>
            </w:r>
          </w:p>
        </w:tc>
        <w:tc>
          <w:tcPr>
            <w:tcW w:type="dxa" w:w="6520"/>
            <w:tcBorders>
              <w:top w:val="single" w:sz="4" w:color="D9D9D9"/>
              <w:left w:val="single" w:sz="4" w:color="D9D9D9"/>
              <w:bottom w:val="single" w:sz="4" w:color="D9D9D9"/>
              <w:right w:val="single" w:sz="4" w:color="D9D9D9"/>
            </w:tcBorders>
            <w:tcMar>
              <w:top w:w="75" w:type="dxa"/>
              <w:left w:w="75" w:type="dxa"/>
              <w:bottom w:w="75" w:type="dxa"/>
              <w:right w:w="75" w:type="dxa"/>
            </w:tcMar>
            <w:shd w:fill="163E49"/>
          </w:tcPr>
          <w:p>
            <w:pPr>
              <w:spacing w:after="0" w:line="256" w:lineRule="exact"/>
            </w:pPr>
            <w:r>
              <w:rPr>
                <w:rFonts w:ascii="Noto Sans JP" w:hAnsi="Noto Sans JP" w:eastAsia="Noto Sans JP"/>
                <w:b/>
                <w:color w:val="FFFFFF"/>
                <w:sz w:val="19"/>
              </w:rPr>
              <w:t>役割</w:t>
            </w:r>
          </w:p>
        </w:tc>
      </w:tr>
      <w:tr>
        <w:trPr>
          <w:cantSplit/>
        </w:trPr>
        <w:tc>
          <w:tcPr>
            <w:tcW w:type="dxa" w:w="3685"/>
            <w:tcBorders>
              <w:top w:val="single" w:sz="4" w:color="D9D9D9"/>
              <w:left w:val="single" w:sz="4" w:color="D9D9D9"/>
              <w:bottom w:val="single" w:sz="4" w:color="D9D9D9"/>
              <w:right w:val="single" w:sz="4" w:color="D9D9D9"/>
            </w:tcBorders>
            <w:tcMar>
              <w:top w:w="75" w:type="dxa"/>
              <w:left w:w="75" w:type="dxa"/>
              <w:bottom w:w="75" w:type="dxa"/>
              <w:right w:w="75" w:type="dxa"/>
            </w:tcMar>
          </w:tcPr>
          <w:p>
            <w:pPr>
              <w:spacing w:after="0" w:line="256" w:lineRule="exact"/>
            </w:pPr>
            <w:r>
              <w:rPr>
                <w:rFonts w:ascii="Noto Sans JP" w:hAnsi="Noto Sans JP" w:eastAsia="Noto Sans JP"/>
                <w:b w:val="0"/>
                <w:color w:val="000000"/>
                <w:sz w:val="19"/>
              </w:rPr>
              <w:t>高反射トップコート</w:t>
            </w:r>
          </w:p>
        </w:tc>
        <w:tc>
          <w:tcPr>
            <w:tcW w:type="dxa" w:w="6520"/>
            <w:tcBorders>
              <w:top w:val="single" w:sz="4" w:color="D9D9D9"/>
              <w:left w:val="single" w:sz="4" w:color="D9D9D9"/>
              <w:bottom w:val="single" w:sz="4" w:color="D9D9D9"/>
              <w:right w:val="single" w:sz="4" w:color="D9D9D9"/>
            </w:tcBorders>
            <w:tcMar>
              <w:top w:w="75" w:type="dxa"/>
              <w:left w:w="75" w:type="dxa"/>
              <w:bottom w:w="75" w:type="dxa"/>
              <w:right w:w="75" w:type="dxa"/>
            </w:tcMar>
          </w:tcPr>
          <w:p>
            <w:pPr>
              <w:spacing w:after="0" w:line="256" w:lineRule="exact"/>
            </w:pPr>
            <w:r>
              <w:rPr>
                <w:rFonts w:ascii="Noto Sans JP" w:hAnsi="Noto Sans JP" w:eastAsia="Noto Sans JP"/>
                <w:b w:val="0"/>
                <w:color w:val="000000"/>
                <w:sz w:val="19"/>
              </w:rPr>
              <w:t>日射熱を反射し、防水層を保護</w:t>
            </w:r>
          </w:p>
        </w:tc>
      </w:tr>
      <w:tr>
        <w:trPr>
          <w:cantSplit/>
        </w:trPr>
        <w:tc>
          <w:tcPr>
            <w:tcW w:type="dxa" w:w="3685"/>
            <w:tcBorders>
              <w:top w:val="single" w:sz="4" w:color="D9D9D9"/>
              <w:left w:val="single" w:sz="4" w:color="D9D9D9"/>
              <w:bottom w:val="single" w:sz="4" w:color="D9D9D9"/>
              <w:right w:val="single" w:sz="4" w:color="D9D9D9"/>
            </w:tcBorders>
            <w:tcMar>
              <w:top w:w="75" w:type="dxa"/>
              <w:left w:w="75" w:type="dxa"/>
              <w:bottom w:w="75" w:type="dxa"/>
              <w:right w:w="75" w:type="dxa"/>
            </w:tcMar>
            <w:shd w:fill="F3F6F5"/>
          </w:tcPr>
          <w:p>
            <w:pPr>
              <w:spacing w:after="0" w:line="256" w:lineRule="exact"/>
            </w:pPr>
            <w:r>
              <w:rPr>
                <w:rFonts w:ascii="Noto Sans JP" w:hAnsi="Noto Sans JP" w:eastAsia="Noto Sans JP"/>
                <w:b w:val="0"/>
                <w:color w:val="000000"/>
                <w:sz w:val="19"/>
              </w:rPr>
              <w:t>ウレタン防水層</w:t>
            </w:r>
          </w:p>
        </w:tc>
        <w:tc>
          <w:tcPr>
            <w:tcW w:type="dxa" w:w="6520"/>
            <w:tcBorders>
              <w:top w:val="single" w:sz="4" w:color="D9D9D9"/>
              <w:left w:val="single" w:sz="4" w:color="D9D9D9"/>
              <w:bottom w:val="single" w:sz="4" w:color="D9D9D9"/>
              <w:right w:val="single" w:sz="4" w:color="D9D9D9"/>
            </w:tcBorders>
            <w:tcMar>
              <w:top w:w="75" w:type="dxa"/>
              <w:left w:w="75" w:type="dxa"/>
              <w:bottom w:w="75" w:type="dxa"/>
              <w:right w:w="75" w:type="dxa"/>
            </w:tcMar>
            <w:shd w:fill="F3F6F5"/>
          </w:tcPr>
          <w:p>
            <w:pPr>
              <w:spacing w:after="0" w:line="256" w:lineRule="exact"/>
            </w:pPr>
            <w:r>
              <w:rPr>
                <w:rFonts w:ascii="Noto Sans JP" w:hAnsi="Noto Sans JP" w:eastAsia="Noto Sans JP"/>
                <w:b w:val="0"/>
                <w:color w:val="000000"/>
                <w:sz w:val="19"/>
              </w:rPr>
              <w:t>継ぎ目のない厚膜で屋根面を防水</w:t>
            </w:r>
          </w:p>
        </w:tc>
      </w:tr>
      <w:tr>
        <w:trPr>
          <w:cantSplit/>
        </w:trPr>
        <w:tc>
          <w:tcPr>
            <w:tcW w:type="dxa" w:w="3685"/>
            <w:tcBorders>
              <w:top w:val="single" w:sz="4" w:color="D9D9D9"/>
              <w:left w:val="single" w:sz="4" w:color="D9D9D9"/>
              <w:bottom w:val="single" w:sz="4" w:color="D9D9D9"/>
              <w:right w:val="single" w:sz="4" w:color="D9D9D9"/>
            </w:tcBorders>
            <w:tcMar>
              <w:top w:w="75" w:type="dxa"/>
              <w:left w:w="75" w:type="dxa"/>
              <w:bottom w:w="75" w:type="dxa"/>
              <w:right w:w="75" w:type="dxa"/>
            </w:tcMar>
          </w:tcPr>
          <w:p>
            <w:pPr>
              <w:spacing w:after="0" w:line="256" w:lineRule="exact"/>
            </w:pPr>
            <w:r>
              <w:rPr>
                <w:rFonts w:ascii="Noto Sans JP" w:hAnsi="Noto Sans JP" w:eastAsia="Noto Sans JP"/>
                <w:b w:val="0"/>
                <w:color w:val="000000"/>
                <w:sz w:val="19"/>
              </w:rPr>
              <w:t>断熱補強層</w:t>
            </w:r>
          </w:p>
        </w:tc>
        <w:tc>
          <w:tcPr>
            <w:tcW w:type="dxa" w:w="6520"/>
            <w:tcBorders>
              <w:top w:val="single" w:sz="4" w:color="D9D9D9"/>
              <w:left w:val="single" w:sz="4" w:color="D9D9D9"/>
              <w:bottom w:val="single" w:sz="4" w:color="D9D9D9"/>
              <w:right w:val="single" w:sz="4" w:color="D9D9D9"/>
            </w:tcBorders>
            <w:tcMar>
              <w:top w:w="75" w:type="dxa"/>
              <w:left w:w="75" w:type="dxa"/>
              <w:bottom w:w="75" w:type="dxa"/>
              <w:right w:w="75" w:type="dxa"/>
            </w:tcMar>
          </w:tcPr>
          <w:p>
            <w:pPr>
              <w:spacing w:after="0" w:line="256" w:lineRule="exact"/>
            </w:pPr>
            <w:r>
              <w:rPr>
                <w:rFonts w:ascii="Noto Sans JP" w:hAnsi="Noto Sans JP" w:eastAsia="Noto Sans JP"/>
                <w:b w:val="0"/>
                <w:color w:val="000000"/>
                <w:sz w:val="19"/>
              </w:rPr>
              <w:t>熱の侵入を抑え、屋根表層を補強</w:t>
            </w:r>
          </w:p>
        </w:tc>
      </w:tr>
      <w:tr>
        <w:trPr>
          <w:cantSplit/>
        </w:trPr>
        <w:tc>
          <w:tcPr>
            <w:tcW w:type="dxa" w:w="3685"/>
            <w:tcBorders>
              <w:top w:val="single" w:sz="4" w:color="D9D9D9"/>
              <w:left w:val="single" w:sz="4" w:color="D9D9D9"/>
              <w:bottom w:val="single" w:sz="4" w:color="D9D9D9"/>
              <w:right w:val="single" w:sz="4" w:color="D9D9D9"/>
            </w:tcBorders>
            <w:tcMar>
              <w:top w:w="75" w:type="dxa"/>
              <w:left w:w="75" w:type="dxa"/>
              <w:bottom w:w="75" w:type="dxa"/>
              <w:right w:w="75" w:type="dxa"/>
            </w:tcMar>
            <w:shd w:fill="F3F6F5"/>
          </w:tcPr>
          <w:p>
            <w:pPr>
              <w:spacing w:after="0" w:line="256" w:lineRule="exact"/>
            </w:pPr>
            <w:r>
              <w:rPr>
                <w:rFonts w:ascii="Noto Sans JP" w:hAnsi="Noto Sans JP" w:eastAsia="Noto Sans JP"/>
                <w:b w:val="0"/>
                <w:color w:val="000000"/>
                <w:sz w:val="19"/>
              </w:rPr>
              <w:t>既存のスレート・金属屋根</w:t>
            </w:r>
          </w:p>
        </w:tc>
        <w:tc>
          <w:tcPr>
            <w:tcW w:type="dxa" w:w="6520"/>
            <w:tcBorders>
              <w:top w:val="single" w:sz="4" w:color="D9D9D9"/>
              <w:left w:val="single" w:sz="4" w:color="D9D9D9"/>
              <w:bottom w:val="single" w:sz="4" w:color="D9D9D9"/>
              <w:right w:val="single" w:sz="4" w:color="D9D9D9"/>
            </w:tcBorders>
            <w:tcMar>
              <w:top w:w="75" w:type="dxa"/>
              <w:left w:w="75" w:type="dxa"/>
              <w:bottom w:w="75" w:type="dxa"/>
              <w:right w:w="75" w:type="dxa"/>
            </w:tcMar>
            <w:shd w:fill="F3F6F5"/>
          </w:tcPr>
          <w:p>
            <w:pPr>
              <w:spacing w:after="0" w:line="256" w:lineRule="exact"/>
            </w:pPr>
            <w:r>
              <w:rPr>
                <w:rFonts w:ascii="Noto Sans JP" w:hAnsi="Noto Sans JP" w:eastAsia="Noto Sans JP"/>
                <w:b w:val="0"/>
                <w:color w:val="000000"/>
                <w:sz w:val="19"/>
              </w:rPr>
              <w:t>現況調査・必要な下地処理のうえで施工</w:t>
            </w:r>
          </w:p>
        </w:tc>
      </w:tr>
    </w:tbl>
    <w:p>
      <w:pPr>
        <w:spacing w:after="0" w:before="0" w:line="40" w:lineRule="exact"/>
      </w:pPr>
    </w:p>
    <w:p>
      <w:pPr>
        <w:pStyle w:val="Heading1"/>
        <w:spacing w:before="180" w:after="100" w:line="360" w:lineRule="exact"/>
      </w:pPr>
      <w:r>
        <w:t>改修で得られる 4つのメリット</w:t>
      </w:r>
    </w:p>
    <w:p>
      <w:pPr>
        <w:spacing w:line="290" w:lineRule="exact" w:after="80"/>
      </w:pPr>
      <w:r>
        <w:rPr>
          <w:rFonts w:ascii="Noto Sans JP" w:hAnsi="Noto Sans JP" w:eastAsia="Noto Sans JP"/>
          <w:b w:val="0"/>
          <w:color w:val="000000"/>
          <w:sz w:val="20"/>
        </w:rPr>
        <w:t>雨漏り対策  屋根面の防水性を高め、設備・製品を守るための漏水対策を進めます。</w:t>
      </w:r>
    </w:p>
    <w:p>
      <w:pPr>
        <w:spacing w:line="290" w:lineRule="exact" w:after="80"/>
      </w:pPr>
      <w:r>
        <w:rPr>
          <w:rFonts w:ascii="Noto Sans JP" w:hAnsi="Noto Sans JP" w:eastAsia="Noto Sans JP"/>
          <w:b w:val="0"/>
          <w:color w:val="000000"/>
          <w:sz w:val="20"/>
        </w:rPr>
        <w:t>屋根の保護と延命  屋根表層を補強・保護し、劣化と繰り返す部分修繕への対策をまとめます。</w:t>
      </w:r>
    </w:p>
    <w:p>
      <w:pPr>
        <w:spacing w:line="290" w:lineRule="exact" w:after="80"/>
      </w:pPr>
      <w:r>
        <w:rPr>
          <w:rFonts w:ascii="Noto Sans JP" w:hAnsi="Noto Sans JP" w:eastAsia="Noto Sans JP"/>
          <w:b w:val="0"/>
          <w:color w:val="000000"/>
          <w:sz w:val="20"/>
        </w:rPr>
        <w:t>暑さ対策  断熱と遮熱を組み合わせ、屋根から入る熱と空調への負担を抑えます。</w:t>
      </w:r>
    </w:p>
    <w:p>
      <w:pPr>
        <w:spacing w:line="290" w:lineRule="exact" w:after="80"/>
      </w:pPr>
      <w:r>
        <w:rPr>
          <w:rFonts w:ascii="Noto Sans JP" w:hAnsi="Noto Sans JP" w:eastAsia="Noto Sans JP"/>
          <w:b w:val="0"/>
          <w:color w:val="000000"/>
          <w:sz w:val="20"/>
        </w:rPr>
        <w:t>既存屋根の活用  全面撤去を伴う葺き替えに比べ、撤去・処分の負担を抑えられる選択肢です。</w:t>
      </w:r>
    </w:p>
    <w:p>
      <w:pPr>
        <w:pStyle w:val="Heading1"/>
        <w:spacing w:before="180" w:after="100" w:line="360" w:lineRule="exact"/>
      </w:pPr>
      <w:r>
        <w:t>メーカー試験で確認した 断熱効果</w:t>
      </w:r>
    </w:p>
    <w:p>
      <w:pPr>
        <w:spacing w:line="377" w:lineRule="exact" w:after="80"/>
      </w:pPr>
      <w:r>
        <w:rPr>
          <w:rFonts w:ascii="Noto Sans JP" w:hAnsi="Noto Sans JP" w:eastAsia="Noto Sans JP"/>
          <w:b/>
          <w:color w:val="000000"/>
          <w:sz w:val="26"/>
        </w:rPr>
        <w:t>鉄板試験体の裏面温度  未施工 60℃ → 施工 43℃</w:t>
      </w:r>
    </w:p>
    <w:p>
      <w:pPr>
        <w:spacing w:line="246" w:lineRule="exact" w:after="80"/>
      </w:pPr>
      <w:r>
        <w:rPr>
          <w:rFonts w:ascii="Noto Sans JP" w:hAnsi="Noto Sans JP" w:eastAsia="Noto Sans JP"/>
          <w:b w:val="0"/>
          <w:color w:val="000000"/>
          <w:sz w:val="17"/>
        </w:rPr>
        <w:t>赤外ランプ照射・両試験体の表面63℃。裏面温度に17℃の差が確認されています。室温の低下幅ではありません。実際の省エネ効果は屋根・空調・稼働条件によって変わります。［1］</w:t>
      </w:r>
    </w:p>
    <w:p>
      <w:r>
        <w:br w:type="page"/>
      </w:r>
    </w:p>
    <w:p>
      <w:pPr>
        <w:pStyle w:val="Title"/>
        <w:spacing w:line="638" w:lineRule="exact" w:after="80"/>
      </w:pPr>
      <w:r>
        <w:rPr>
          <w:rFonts w:ascii="Noto Sans JP" w:hAnsi="Noto Sans JP" w:eastAsia="Noto Sans JP"/>
          <w:b/>
          <w:color w:val="000000"/>
          <w:sz w:val="44"/>
        </w:rPr>
        <w:t>マルホウが施工する理由</w:t>
      </w:r>
    </w:p>
    <w:p>
      <w:pPr>
        <w:spacing w:line="304" w:lineRule="exact" w:after="80"/>
      </w:pPr>
      <w:r>
        <w:rPr>
          <w:rFonts w:ascii="Noto Sans JP" w:hAnsi="Noto Sans JP" w:eastAsia="Noto Sans JP"/>
          <w:b w:val="0"/>
          <w:color w:val="000000"/>
          <w:sz w:val="21"/>
        </w:rPr>
        <w:t>全国の施工経験と現場ごとの安全対策で、工場の屋根改修を支えます。</w:t>
      </w:r>
    </w:p>
    <w:tbl>
      <w:tblPr>
        <w:tblW w:type="auto" w:w="0"/>
        <w:tblLayout w:type="fixed"/>
        <w:tblLook w:firstColumn="1" w:firstRow="1" w:lastColumn="0" w:lastRow="0" w:noHBand="0" w:noVBand="1" w:val="04A0"/>
      </w:tblPr>
      <w:tblGrid>
        <w:gridCol w:w="3969"/>
        <w:gridCol w:w="2551"/>
        <w:gridCol w:w="3685"/>
      </w:tblGrid>
      <w:tr>
        <w:trPr>
          <w:cantSplit/>
          <w:tblHeader/>
        </w:trPr>
        <w:tc>
          <w:tcPr>
            <w:tcW w:type="dxa" w:w="3969"/>
            <w:tcBorders>
              <w:top w:val="single" w:sz="4" w:color="D9D9D9"/>
              <w:left w:val="single" w:sz="4" w:color="D9D9D9"/>
              <w:bottom w:val="single" w:sz="4" w:color="D9D9D9"/>
              <w:right w:val="single" w:sz="4" w:color="D9D9D9"/>
            </w:tcBorders>
            <w:tcMar>
              <w:top w:w="75" w:type="dxa"/>
              <w:left w:w="75" w:type="dxa"/>
              <w:bottom w:w="75" w:type="dxa"/>
              <w:right w:w="75" w:type="dxa"/>
            </w:tcMar>
            <w:shd w:fill="163E49"/>
          </w:tcPr>
          <w:p>
            <w:pPr>
              <w:spacing w:after="0" w:line="324" w:lineRule="exact"/>
            </w:pPr>
            <w:r>
              <w:rPr>
                <w:rFonts w:ascii="Noto Sans JP" w:hAnsi="Noto Sans JP" w:eastAsia="Noto Sans JP"/>
                <w:b/>
                <w:color w:val="FFFFFF"/>
                <w:sz w:val="24"/>
              </w:rPr>
              <w:t>マルホウのリ・ルーフ実績</w:t>
            </w:r>
          </w:p>
        </w:tc>
        <w:tc>
          <w:tcPr>
            <w:tcW w:type="dxa" w:w="2551"/>
            <w:tcBorders>
              <w:top w:val="single" w:sz="4" w:color="D9D9D9"/>
              <w:left w:val="single" w:sz="4" w:color="D9D9D9"/>
              <w:bottom w:val="single" w:sz="4" w:color="D9D9D9"/>
              <w:right w:val="single" w:sz="4" w:color="D9D9D9"/>
            </w:tcBorders>
            <w:tcMar>
              <w:top w:w="75" w:type="dxa"/>
              <w:left w:w="75" w:type="dxa"/>
              <w:bottom w:w="75" w:type="dxa"/>
              <w:right w:w="75" w:type="dxa"/>
            </w:tcMar>
            <w:shd w:fill="163E49"/>
          </w:tcPr>
          <w:p>
            <w:pPr>
              <w:spacing w:after="0" w:line="324" w:lineRule="exact"/>
            </w:pPr>
            <w:r>
              <w:rPr>
                <w:rFonts w:ascii="Noto Sans JP" w:hAnsi="Noto Sans JP" w:eastAsia="Noto Sans JP"/>
                <w:b/>
                <w:color w:val="FFFFFF"/>
                <w:sz w:val="24"/>
              </w:rPr>
              <w:t>施工地域</w:t>
            </w:r>
          </w:p>
        </w:tc>
        <w:tc>
          <w:tcPr>
            <w:tcW w:type="dxa" w:w="3685"/>
            <w:tcBorders>
              <w:top w:val="single" w:sz="4" w:color="D9D9D9"/>
              <w:left w:val="single" w:sz="4" w:color="D9D9D9"/>
              <w:bottom w:val="single" w:sz="4" w:color="D9D9D9"/>
              <w:right w:val="single" w:sz="4" w:color="D9D9D9"/>
            </w:tcBorders>
            <w:tcMar>
              <w:top w:w="75" w:type="dxa"/>
              <w:left w:w="75" w:type="dxa"/>
              <w:bottom w:w="75" w:type="dxa"/>
              <w:right w:w="75" w:type="dxa"/>
            </w:tcMar>
            <w:shd w:fill="163E49"/>
          </w:tcPr>
          <w:p>
            <w:pPr>
              <w:spacing w:after="0" w:line="324" w:lineRule="exact"/>
            </w:pPr>
            <w:r>
              <w:rPr>
                <w:rFonts w:ascii="Noto Sans JP" w:hAnsi="Noto Sans JP" w:eastAsia="Noto Sans JP"/>
                <w:b/>
                <w:color w:val="FFFFFF"/>
                <w:sz w:val="24"/>
              </w:rPr>
              <w:t>保証</w:t>
            </w:r>
          </w:p>
        </w:tc>
      </w:tr>
      <w:tr>
        <w:trPr>
          <w:cantSplit/>
        </w:trPr>
        <w:tc>
          <w:tcPr>
            <w:tcW w:type="dxa" w:w="3969"/>
            <w:tcBorders>
              <w:top w:val="single" w:sz="4" w:color="D9D9D9"/>
              <w:left w:val="single" w:sz="4" w:color="D9D9D9"/>
              <w:bottom w:val="single" w:sz="4" w:color="D9D9D9"/>
              <w:right w:val="single" w:sz="4" w:color="D9D9D9"/>
            </w:tcBorders>
            <w:tcMar>
              <w:top w:w="75" w:type="dxa"/>
              <w:left w:w="75" w:type="dxa"/>
              <w:bottom w:w="75" w:type="dxa"/>
              <w:right w:w="75" w:type="dxa"/>
            </w:tcMar>
          </w:tcPr>
          <w:p>
            <w:pPr>
              <w:spacing w:after="0" w:line="324" w:lineRule="exact"/>
            </w:pPr>
            <w:r>
              <w:rPr>
                <w:rFonts w:ascii="Noto Sans JP" w:hAnsi="Noto Sans JP" w:eastAsia="Noto Sans JP"/>
                <w:b w:val="0"/>
                <w:color w:val="000000"/>
                <w:sz w:val="24"/>
              </w:rPr>
              <w:t>227明細</w:t>
            </w:r>
          </w:p>
        </w:tc>
        <w:tc>
          <w:tcPr>
            <w:tcW w:type="dxa" w:w="2551"/>
            <w:tcBorders>
              <w:top w:val="single" w:sz="4" w:color="D9D9D9"/>
              <w:left w:val="single" w:sz="4" w:color="D9D9D9"/>
              <w:bottom w:val="single" w:sz="4" w:color="D9D9D9"/>
              <w:right w:val="single" w:sz="4" w:color="D9D9D9"/>
            </w:tcBorders>
            <w:tcMar>
              <w:top w:w="75" w:type="dxa"/>
              <w:left w:w="75" w:type="dxa"/>
              <w:bottom w:w="75" w:type="dxa"/>
              <w:right w:w="75" w:type="dxa"/>
            </w:tcMar>
          </w:tcPr>
          <w:p>
            <w:pPr>
              <w:spacing w:after="0" w:line="324" w:lineRule="exact"/>
            </w:pPr>
            <w:r>
              <w:rPr>
                <w:rFonts w:ascii="Noto Sans JP" w:hAnsi="Noto Sans JP" w:eastAsia="Noto Sans JP"/>
                <w:b w:val="0"/>
                <w:color w:val="000000"/>
                <w:sz w:val="24"/>
              </w:rPr>
              <w:t>30都道府県</w:t>
            </w:r>
          </w:p>
        </w:tc>
        <w:tc>
          <w:tcPr>
            <w:tcW w:type="dxa" w:w="3685"/>
            <w:tcBorders>
              <w:top w:val="single" w:sz="4" w:color="D9D9D9"/>
              <w:left w:val="single" w:sz="4" w:color="D9D9D9"/>
              <w:bottom w:val="single" w:sz="4" w:color="D9D9D9"/>
              <w:right w:val="single" w:sz="4" w:color="D9D9D9"/>
            </w:tcBorders>
            <w:tcMar>
              <w:top w:w="75" w:type="dxa"/>
              <w:left w:w="75" w:type="dxa"/>
              <w:bottom w:w="75" w:type="dxa"/>
              <w:right w:w="75" w:type="dxa"/>
            </w:tcMar>
          </w:tcPr>
          <w:p>
            <w:pPr>
              <w:spacing w:after="0" w:line="324" w:lineRule="exact"/>
            </w:pPr>
            <w:r>
              <w:rPr>
                <w:rFonts w:ascii="Noto Sans JP" w:hAnsi="Noto Sans JP" w:eastAsia="Noto Sans JP"/>
                <w:b w:val="0"/>
                <w:color w:val="000000"/>
                <w:sz w:val="24"/>
              </w:rPr>
              <w:t>10年間の防水保証</w:t>
            </w:r>
          </w:p>
        </w:tc>
      </w:tr>
    </w:tbl>
    <w:p>
      <w:pPr>
        <w:spacing w:after="0" w:before="0" w:line="40" w:lineRule="exact"/>
      </w:pPr>
    </w:p>
    <w:p>
      <w:pPr>
        <w:spacing w:line="232" w:lineRule="exact" w:after="80"/>
      </w:pPr>
      <w:r>
        <w:rPr>
          <w:rFonts w:ascii="Noto Sans JP" w:hAnsi="Noto Sans JP" w:eastAsia="Noto Sans JP"/>
          <w:b w:val="0"/>
          <w:color w:val="000000"/>
          <w:sz w:val="16"/>
        </w:rPr>
        <w:t>実績集計：2018年7月〜2026年7月のマルホウ全社施工実績表。工場以外の施設・同一工事の分割記載を含むため、現場数とは異なります。［2］</w:t>
      </w:r>
    </w:p>
    <w:p>
      <w:pPr>
        <w:pStyle w:val="Heading1"/>
        <w:spacing w:before="180" w:after="100" w:line="360" w:lineRule="exact"/>
      </w:pPr>
      <w:r>
        <w:t>施工中の踏み抜きと飛散に備える</w:t>
      </w:r>
    </w:p>
    <w:p>
      <w:pPr>
        <w:spacing w:line="319" w:lineRule="exact" w:after="80"/>
      </w:pPr>
      <w:r>
        <w:rPr>
          <w:rFonts w:ascii="Noto Sans JP" w:hAnsi="Noto Sans JP" w:eastAsia="Noto Sans JP"/>
          <w:b/>
          <w:color w:val="000000"/>
          <w:sz w:val="22"/>
        </w:rPr>
        <w:t>積み固め方式による踏み抜き対策</w:t>
      </w:r>
    </w:p>
    <w:p>
      <w:pPr>
        <w:spacing w:line="290" w:lineRule="exact" w:after="80"/>
      </w:pPr>
      <w:r>
        <w:rPr>
          <w:rFonts w:ascii="Noto Sans JP" w:hAnsi="Noto Sans JP" w:eastAsia="Noto Sans JP"/>
          <w:b w:val="0"/>
          <w:color w:val="000000"/>
          <w:sz w:val="20"/>
        </w:rPr>
        <w:t>未施工の劣化スレートに直接乗らず、下段から施工します。硬化と施工状態を確認し、歩行可能と判断した施工済み範囲から上段へ進めます。足場・親綱などの墜落防止措置も併用します。</w:t>
      </w:r>
    </w:p>
    <w:tbl>
      <w:tblPr>
        <w:tblW w:type="auto" w:w="0"/>
        <w:tblLayout w:type="fixed"/>
        <w:tblLook w:firstColumn="1" w:firstRow="1" w:lastColumn="0" w:lastRow="0" w:noHBand="0" w:noVBand="1" w:val="04A0"/>
      </w:tblPr>
      <w:tblGrid>
        <w:gridCol w:w="3402"/>
        <w:gridCol w:w="3402"/>
        <w:gridCol w:w="3402"/>
      </w:tblGrid>
      <w:tr>
        <w:trPr>
          <w:cantSplit/>
          <w:tblHeader/>
        </w:trPr>
        <w:tc>
          <w:tcPr>
            <w:tcW w:type="dxa" w:w="3402"/>
            <w:tcBorders>
              <w:top w:val="single" w:sz="4" w:color="D9D9D9"/>
              <w:left w:val="single" w:sz="4" w:color="D9D9D9"/>
              <w:bottom w:val="single" w:sz="4" w:color="D9D9D9"/>
              <w:right w:val="single" w:sz="4" w:color="D9D9D9"/>
            </w:tcBorders>
            <w:tcMar>
              <w:top w:w="75" w:type="dxa"/>
              <w:left w:w="75" w:type="dxa"/>
              <w:bottom w:w="75" w:type="dxa"/>
              <w:right w:w="75" w:type="dxa"/>
            </w:tcMar>
            <w:shd w:fill="163E49"/>
          </w:tcPr>
          <w:p>
            <w:pPr>
              <w:spacing w:after="0" w:line="256" w:lineRule="exact"/>
            </w:pPr>
            <w:r>
              <w:rPr>
                <w:rFonts w:ascii="Noto Sans JP" w:hAnsi="Noto Sans JP" w:eastAsia="Noto Sans JP"/>
                <w:b/>
                <w:color w:val="FFFFFF"/>
                <w:sz w:val="19"/>
              </w:rPr>
              <w:t>1 下段を施工</w:t>
            </w:r>
          </w:p>
        </w:tc>
        <w:tc>
          <w:tcPr>
            <w:tcW w:type="dxa" w:w="3402"/>
            <w:tcBorders>
              <w:top w:val="single" w:sz="4" w:color="D9D9D9"/>
              <w:left w:val="single" w:sz="4" w:color="D9D9D9"/>
              <w:bottom w:val="single" w:sz="4" w:color="D9D9D9"/>
              <w:right w:val="single" w:sz="4" w:color="D9D9D9"/>
            </w:tcBorders>
            <w:tcMar>
              <w:top w:w="75" w:type="dxa"/>
              <w:left w:w="75" w:type="dxa"/>
              <w:bottom w:w="75" w:type="dxa"/>
              <w:right w:w="75" w:type="dxa"/>
            </w:tcMar>
            <w:shd w:fill="163E49"/>
          </w:tcPr>
          <w:p>
            <w:pPr>
              <w:spacing w:after="0" w:line="256" w:lineRule="exact"/>
            </w:pPr>
            <w:r>
              <w:rPr>
                <w:rFonts w:ascii="Noto Sans JP" w:hAnsi="Noto Sans JP" w:eastAsia="Noto Sans JP"/>
                <w:b/>
                <w:color w:val="FFFFFF"/>
                <w:sz w:val="19"/>
              </w:rPr>
              <w:t>2 硬化と状態を確認</w:t>
            </w:r>
          </w:p>
        </w:tc>
        <w:tc>
          <w:tcPr>
            <w:tcW w:type="dxa" w:w="3402"/>
            <w:tcBorders>
              <w:top w:val="single" w:sz="4" w:color="D9D9D9"/>
              <w:left w:val="single" w:sz="4" w:color="D9D9D9"/>
              <w:bottom w:val="single" w:sz="4" w:color="D9D9D9"/>
              <w:right w:val="single" w:sz="4" w:color="D9D9D9"/>
            </w:tcBorders>
            <w:tcMar>
              <w:top w:w="75" w:type="dxa"/>
              <w:left w:w="75" w:type="dxa"/>
              <w:bottom w:w="75" w:type="dxa"/>
              <w:right w:w="75" w:type="dxa"/>
            </w:tcMar>
            <w:shd w:fill="163E49"/>
          </w:tcPr>
          <w:p>
            <w:pPr>
              <w:spacing w:after="0" w:line="256" w:lineRule="exact"/>
            </w:pPr>
            <w:r>
              <w:rPr>
                <w:rFonts w:ascii="Noto Sans JP" w:hAnsi="Noto Sans JP" w:eastAsia="Noto Sans JP"/>
                <w:b/>
                <w:color w:val="FFFFFF"/>
                <w:sz w:val="19"/>
              </w:rPr>
              <w:t>3 施工済み範囲から上段へ</w:t>
            </w:r>
          </w:p>
        </w:tc>
      </w:tr>
    </w:tbl>
    <w:p>
      <w:pPr>
        <w:spacing w:after="0" w:before="0" w:line="40" w:lineRule="exact"/>
      </w:pPr>
    </w:p>
    <w:p>
      <w:pPr>
        <w:spacing w:line="319" w:lineRule="exact" w:after="80"/>
      </w:pPr>
      <w:r>
        <w:rPr>
          <w:rFonts w:ascii="Noto Sans JP" w:hAnsi="Noto Sans JP" w:eastAsia="Noto Sans JP"/>
          <w:b/>
          <w:color w:val="000000"/>
          <w:sz w:val="22"/>
        </w:rPr>
        <w:t>MRSによる吹付材料の飛散対策</w:t>
      </w:r>
    </w:p>
    <w:p>
      <w:pPr>
        <w:spacing w:line="290" w:lineRule="exact" w:after="80"/>
      </w:pPr>
      <w:r>
        <w:rPr>
          <w:rFonts w:ascii="Noto Sans JP" w:hAnsi="Noto Sans JP" w:eastAsia="Noto Sans JP"/>
          <w:b w:val="0"/>
          <w:color w:val="000000"/>
          <w:sz w:val="20"/>
        </w:rPr>
        <w:t>吹付範囲を囲って材料の飛散を抑制。風向・風速、車両、周辺設備、吸気口に合わせて養生を計画します。MRSは防錆処理とは別の対策です。</w:t>
      </w:r>
    </w:p>
    <w:p>
      <w:pPr>
        <w:pStyle w:val="Heading1"/>
        <w:spacing w:before="180" w:after="100" w:line="360" w:lineRule="exact"/>
      </w:pPr>
      <w:r>
        <w:t>長期の安心を支える 10年間の防水保証</w:t>
      </w:r>
    </w:p>
    <w:p>
      <w:pPr>
        <w:spacing w:line="290" w:lineRule="exact" w:after="80"/>
      </w:pPr>
      <w:r>
        <w:rPr>
          <w:rFonts w:ascii="Noto Sans JP" w:hAnsi="Noto Sans JP" w:eastAsia="Noto Sans JP"/>
          <w:b w:val="0"/>
          <w:color w:val="000000"/>
          <w:sz w:val="20"/>
        </w:rPr>
        <w:t>リ・ルーフシステムは10年間の防水保証に対応します。保証対象となる施工範囲・仕様、保証者、起算日、免責事項、点検・維持管理条件は、ご契約前に書面でご案内します。［3］</w:t>
      </w:r>
    </w:p>
    <w:p>
      <w:pPr>
        <w:spacing w:line="246" w:lineRule="exact" w:after="80"/>
      </w:pPr>
      <w:r>
        <w:rPr>
          <w:rFonts w:ascii="Noto Sans JP" w:hAnsi="Noto Sans JP" w:eastAsia="Noto Sans JP"/>
          <w:b w:val="0"/>
          <w:color w:val="000000"/>
          <w:sz w:val="17"/>
        </w:rPr>
        <w:t>保証は防水を対象とするもので、温度低減・省エネ額や無補修で使える年数を一律に保証するものではありません。</w:t>
      </w:r>
    </w:p>
    <w:p>
      <w:pPr>
        <w:pStyle w:val="Heading1"/>
        <w:spacing w:before="180" w:after="100" w:line="360" w:lineRule="exact"/>
      </w:pPr>
      <w:r>
        <w:t>工場の稼働条件に合わせて計画する</w:t>
      </w:r>
    </w:p>
    <w:p>
      <w:pPr>
        <w:spacing w:line="290" w:lineRule="exact" w:after="80"/>
      </w:pPr>
      <w:r>
        <w:rPr>
          <w:rFonts w:ascii="Noto Sans JP" w:hAnsi="Noto Sans JP" w:eastAsia="Noto Sans JP"/>
          <w:b/>
          <w:color w:val="000000"/>
          <w:sz w:val="20"/>
        </w:rPr>
        <w:t>現地調査 → 仕様・補修範囲の確認 → 工区と工程の調整 → 施工・検査 → 引渡し</w:t>
      </w:r>
    </w:p>
    <w:p>
      <w:pPr>
        <w:spacing w:line="261" w:lineRule="exact" w:after="80"/>
      </w:pPr>
      <w:r>
        <w:rPr>
          <w:rFonts w:ascii="Noto Sans JP" w:hAnsi="Noto Sans JP" w:eastAsia="Noto Sans JP"/>
          <w:b w:val="0"/>
          <w:color w:val="000000"/>
          <w:sz w:val="18"/>
        </w:rPr>
        <w:t>吹付中の空調・換気停止の範囲と時間を工場側と調整します。著しい腐食・欠損は交換も検討。石綿含有屋根は必要な調査・対応を行い、被覆後も残る石綿を管理します。</w:t>
      </w:r>
    </w:p>
    <w:p>
      <w:pPr>
        <w:pStyle w:val="Heading1"/>
        <w:spacing w:before="180" w:after="100" w:line="360" w:lineRule="exact"/>
      </w:pPr>
      <w:r>
        <w:t>写真や図面から ご相談いただけます</w:t>
      </w:r>
    </w:p>
    <w:p>
      <w:pPr>
        <w:spacing w:line="290" w:lineRule="exact" w:after="80"/>
      </w:pPr>
      <w:r>
        <w:rPr>
          <w:rFonts w:ascii="Noto Sans JP" w:hAnsi="Noto Sans JP" w:eastAsia="Noto Sans JP"/>
          <w:b w:val="0"/>
          <w:color w:val="000000"/>
          <w:sz w:val="20"/>
        </w:rPr>
        <w:t>屋根の所在地・種類・お困りごとをお知らせください。現況に合わせて、工事範囲・総費用・工程をご提案します。全国対応。</w:t>
      </w:r>
    </w:p>
    <w:p>
      <w:hyperlink r:id="rId12">
        <w:r>
          <w:rPr>
            <w:sz w:val="16"/>
          </w:rPr>
          <w:t>［1］シーカ リ・ルーフシステム DK127 メーカー公式カタログ</w:t>
        </w:r>
      </w:hyperlink>
    </w:p>
    <w:p>
      <w:hyperlink r:id="rId13">
        <w:r>
          <w:rPr>
            <w:sz w:val="16"/>
          </w:rPr>
          <w:t>［2］マルホウ 全227明細の施工実績一覧</w:t>
        </w:r>
      </w:hyperlink>
    </w:p>
    <w:p>
      <w:hyperlink r:id="rId14">
        <w:r>
          <w:rPr>
            <w:sz w:val="16"/>
          </w:rPr>
          <w:t>［3］スプレーウレタン・ウレア工業会 リ・ルーフの防水保証</w:t>
        </w:r>
      </w:hyperlink>
    </w:p>
    <w:sectPr w:rsidR="00FC693F" w:rsidRPr="0006063C" w:rsidSect="00034616">
      <w:headerReference w:type="default" r:id="rId9"/>
      <w:footerReference w:type="default" r:id="rId10"/>
      <w:pgSz w:w="11906" w:h="16838"/>
      <w:pgMar w:top="737" w:right="850" w:bottom="737" w:left="850" w:header="283" w:footer="34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JP" w:hAnsi="Noto Sans JP" w:eastAsia="Noto Sans JP"/>
        <w:b w:val="0"/>
        <w:color w:val="000000"/>
        <w:sz w:val="16"/>
      </w:rPr>
      <w:t>株式会社マルホウ  |  0120-004-275  |  info@maruhou.co.jp</w:t>
    </w:r>
  </w:p>
  <w:p>
    <w:pPr>
      <w:jc w:val="center"/>
    </w:pPr>
    <w:r>
      <w:rPr>
        <w:rFonts w:ascii="Noto Sans JP" w:hAnsi="Noto Sans JP" w:eastAsia="Noto Sans JP"/>
        <w:b w:val="0"/>
        <w:color w:val="000000"/>
        <w:sz w:val="15"/>
      </w:rPr>
      <w:t xml:space="preserve">2026年10月24日改訂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Noto Sans JP" w:hAnsi="Noto Sans JP" w:eastAsia="Noto Sans JP"/>
        <w:b/>
        <w:color w:val="000000"/>
        <w:sz w:val="16"/>
      </w:rPr>
      <w:t>MARUHOU.  株式会社マルホウ  |  工場・倉庫の屋根改修</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9" w:lineRule="auto"/>
    </w:pPr>
    <w:rPr>
      <w:rFonts w:ascii="Noto Sans JP" w:hAnsi="Noto Sans JP" w:eastAsia="Noto Sans JP"/>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80"/>
      <w:outlineLvl w:val="0"/>
    </w:pPr>
    <w:rPr>
      <w:rFonts w:asciiTheme="majorHAnsi" w:eastAsiaTheme="majorEastAsia" w:hAnsiTheme="majorHAnsi" w:cstheme="majorBidi" w:ascii="Noto Sans JP" w:hAnsi="Noto Sans JP" w:eastAsia="Noto Sans JP"/>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Noto Sans JP" w:hAnsi="Noto Sans JP" w:eastAsia="Noto Sans JP"/>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80" w:line="240" w:lineRule="auto"/>
      <w:contextualSpacing/>
    </w:pPr>
    <w:rPr>
      <w:rFonts w:asciiTheme="majorHAnsi" w:eastAsiaTheme="majorEastAsia" w:hAnsiTheme="majorHAnsi" w:cstheme="majorBidi" w:ascii="Noto Sans JP" w:hAnsi="Noto Sans JP" w:eastAsia="Noto Sans JP"/>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pPr>
    <w:rPr>
      <w:rFonts w:asciiTheme="majorHAnsi" w:eastAsiaTheme="majorEastAsia" w:hAnsiTheme="majorHAnsi" w:cstheme="majorBidi" w:ascii="Noto Sans JP" w:hAnsi="Noto Sans JP" w:eastAsia="Noto Sans JP"/>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jpg"/><Relationship Id="rId12" Type="http://schemas.openxmlformats.org/officeDocument/2006/relationships/hyperlink" Target="https://jpn.sika.com/dam/dms/jp01/roofing/brochure/DK127_re-roofsystem.pdf" TargetMode="External"/><Relationship Id="rId13" Type="http://schemas.openxmlformats.org/officeDocument/2006/relationships/hyperlink" Target="https://maruhou-reroof.hibi26859.chatgpt.site/records.html" TargetMode="External"/><Relationship Id="rId14" Type="http://schemas.openxmlformats.org/officeDocument/2006/relationships/hyperlink" Target="https://www.spray-suk.com/reloo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リ・ルーフシステム 工場屋根改修のご提案</dc:title>
  <dc:subject/>
  <dc:creator>株式会社マルホウ</dc:creator>
  <cp:keywords/>
  <dc:description>generated by python-docx</dc:description>
  <cp:lastModifiedBy/>
  <cp:revision>1</cp:revision>
  <dcterms:created xsi:type="dcterms:W3CDTF">2013-12-23T23:15:00Z</dcterms:created>
  <dcterms:modified xsi:type="dcterms:W3CDTF">2013-12-23T23:15:00Z</dcterms:modified>
  <cp:category/>
</cp:coreProperties>
</file>